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2ABBE516"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6A213B">
        <w:rPr>
          <w:rFonts w:cs="Arial"/>
          <w:bCs/>
          <w:noProof w:val="0"/>
          <w:sz w:val="24"/>
          <w:szCs w:val="24"/>
        </w:rPr>
        <w:t>10</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A86B16">
        <w:rPr>
          <w:rFonts w:cs="Arial"/>
          <w:bCs/>
          <w:noProof w:val="0"/>
          <w:sz w:val="24"/>
          <w:szCs w:val="24"/>
        </w:rPr>
        <w:t>5947</w:t>
      </w:r>
    </w:p>
    <w:bookmarkEnd w:id="0"/>
    <w:p w14:paraId="5669B020" w14:textId="725A2680"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6A213B">
        <w:rPr>
          <w:rFonts w:eastAsia="MS Mincho" w:cs="Arial"/>
          <w:sz w:val="24"/>
          <w:szCs w:val="24"/>
          <w:lang w:val="en-US"/>
        </w:rPr>
        <w:t>2</w:t>
      </w:r>
      <w:r w:rsidR="00FA4A45">
        <w:rPr>
          <w:rFonts w:eastAsia="MS Mincho" w:cs="Arial"/>
          <w:sz w:val="24"/>
          <w:szCs w:val="24"/>
          <w:lang w:val="en-US"/>
        </w:rPr>
        <w:t>-</w:t>
      </w:r>
      <w:r w:rsidR="00F75748">
        <w:rPr>
          <w:rFonts w:eastAsia="MS Mincho" w:cs="Arial"/>
          <w:sz w:val="24"/>
          <w:szCs w:val="24"/>
          <w:lang w:val="en-US"/>
        </w:rPr>
        <w:t>1</w:t>
      </w:r>
      <w:r w:rsidR="00A86B16">
        <w:rPr>
          <w:rFonts w:eastAsia="MS Mincho" w:cs="Arial"/>
          <w:sz w:val="24"/>
          <w:szCs w:val="24"/>
          <w:lang w:val="en-US"/>
        </w:rPr>
        <w:t>2</w:t>
      </w:r>
      <w:r w:rsidR="00FC5FE8">
        <w:rPr>
          <w:rFonts w:eastAsia="MS Mincho" w:cs="Arial"/>
          <w:sz w:val="24"/>
          <w:szCs w:val="24"/>
          <w:lang w:val="en-US"/>
        </w:rPr>
        <w:t xml:space="preserve"> </w:t>
      </w:r>
      <w:r w:rsidR="006A213B">
        <w:rPr>
          <w:rFonts w:eastAsia="MS Mincho" w:cs="Arial"/>
          <w:sz w:val="24"/>
          <w:szCs w:val="24"/>
          <w:lang w:val="en-US"/>
        </w:rPr>
        <w:t>Nov</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1DE0E916"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A86B16">
        <w:rPr>
          <w:rFonts w:cs="Arial"/>
          <w:b/>
          <w:bCs/>
          <w:sz w:val="24"/>
        </w:rPr>
        <w:t>14.3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54291312"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bookmarkStart w:id="1" w:name="_GoBack"/>
      <w:r w:rsidR="002823F2">
        <w:rPr>
          <w:rFonts w:ascii="Arial" w:hAnsi="Arial" w:cs="Arial"/>
          <w:b/>
          <w:bCs/>
          <w:sz w:val="24"/>
        </w:rPr>
        <w:t xml:space="preserve">Enhancements related to the conditional </w:t>
      </w:r>
      <w:proofErr w:type="spellStart"/>
      <w:r w:rsidR="002823F2">
        <w:rPr>
          <w:rFonts w:ascii="Arial" w:hAnsi="Arial" w:cs="Arial"/>
          <w:b/>
          <w:bCs/>
          <w:sz w:val="24"/>
        </w:rPr>
        <w:t>PSCell</w:t>
      </w:r>
      <w:proofErr w:type="spellEnd"/>
      <w:r w:rsidR="002823F2">
        <w:rPr>
          <w:rFonts w:ascii="Arial" w:hAnsi="Arial" w:cs="Arial"/>
          <w:b/>
          <w:bCs/>
          <w:sz w:val="24"/>
        </w:rPr>
        <w:t xml:space="preserve"> change</w:t>
      </w:r>
      <w:bookmarkEnd w:id="1"/>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363B72FA" w14:textId="3156375C" w:rsidR="002823F2" w:rsidRDefault="002823F2" w:rsidP="008572DC">
      <w:pPr>
        <w:rPr>
          <w:lang w:val="en-US"/>
        </w:rPr>
      </w:pPr>
      <w:bookmarkStart w:id="2" w:name="_Toc474247438"/>
      <w:r>
        <w:rPr>
          <w:lang w:val="en-US"/>
        </w:rPr>
        <w:t xml:space="preserve">In Rel.16, the conditional </w:t>
      </w:r>
      <w:proofErr w:type="spellStart"/>
      <w:r>
        <w:rPr>
          <w:lang w:val="en-US"/>
        </w:rPr>
        <w:t>PScell</w:t>
      </w:r>
      <w:proofErr w:type="spellEnd"/>
      <w:r>
        <w:rPr>
          <w:lang w:val="en-US"/>
        </w:rPr>
        <w:t xml:space="preserve"> change (CPC) was enabled, but only in intra-SN scenario, and assuming CHO is not used at the same time. In the Rel.17 WI on DC and CA enhancements, RAN2 and RAN3 are obliged to work on solutions allowing to remove these Rel.16 limitations. The work has already started in RAN2. In this paper, we discuss some areas where the RAN3’s involvement will be needed and propose drafts of the solutions.</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0D63C18A" w14:textId="170A2D31" w:rsidR="001577BF" w:rsidRDefault="00F62075" w:rsidP="00F62075">
      <w:pPr>
        <w:pStyle w:val="Heading2"/>
        <w:rPr>
          <w:lang w:val="en-US"/>
        </w:rPr>
      </w:pPr>
      <w:r>
        <w:rPr>
          <w:lang w:val="en-US"/>
        </w:rPr>
        <w:t>2.1</w:t>
      </w:r>
      <w:r>
        <w:rPr>
          <w:lang w:val="en-US"/>
        </w:rPr>
        <w:tab/>
        <w:t>Inter-SN data forwarding</w:t>
      </w:r>
    </w:p>
    <w:p w14:paraId="01391533" w14:textId="3E5D23E1" w:rsidR="008D10D0" w:rsidRDefault="008D10D0" w:rsidP="008D10D0">
      <w:pPr>
        <w:rPr>
          <w:lang w:val="en-US"/>
        </w:rPr>
      </w:pPr>
      <w:r w:rsidRPr="008D10D0">
        <w:rPr>
          <w:lang w:val="en-US"/>
        </w:rPr>
        <w:t xml:space="preserve">In inter-SN CPC, a serving Secondary Node (SN) 1 has two options for triggering data forwarding to a target SN2. In option 1, the source SN initiates, upon configuring the UE with CPC, an early data forwarding to all SNs serving candidates </w:t>
      </w:r>
      <w:proofErr w:type="spellStart"/>
      <w:r w:rsidRPr="008D10D0">
        <w:rPr>
          <w:lang w:val="en-US"/>
        </w:rPr>
        <w:t>PSCells</w:t>
      </w:r>
      <w:proofErr w:type="spellEnd"/>
      <w:r w:rsidRPr="008D10D0">
        <w:rPr>
          <w:lang w:val="en-US"/>
        </w:rPr>
        <w:t xml:space="preserve">. In option 2, the source SN initiates data forwarding to the selected target SN2 only when the UE completes the access to the target </w:t>
      </w:r>
      <w:proofErr w:type="spellStart"/>
      <w:r w:rsidRPr="008D10D0">
        <w:rPr>
          <w:lang w:val="en-US"/>
        </w:rPr>
        <w:t>PSCell</w:t>
      </w:r>
      <w:proofErr w:type="spellEnd"/>
      <w:r w:rsidRPr="008D10D0">
        <w:rPr>
          <w:lang w:val="en-US"/>
        </w:rPr>
        <w:t xml:space="preserve">. In option 1, the early data forwarding ensures that the target SN2 has the data available when the UE completes the random access at the expense of an increase in </w:t>
      </w:r>
      <w:proofErr w:type="spellStart"/>
      <w:r w:rsidRPr="008D10D0">
        <w:rPr>
          <w:lang w:val="en-US"/>
        </w:rPr>
        <w:t>signalling</w:t>
      </w:r>
      <w:proofErr w:type="spellEnd"/>
      <w:r w:rsidRPr="008D10D0">
        <w:rPr>
          <w:lang w:val="en-US"/>
        </w:rPr>
        <w:t xml:space="preserve"> overhead over the </w:t>
      </w:r>
      <w:proofErr w:type="spellStart"/>
      <w:r w:rsidRPr="008D10D0">
        <w:rPr>
          <w:lang w:val="en-US"/>
        </w:rPr>
        <w:t>Xn</w:t>
      </w:r>
      <w:proofErr w:type="spellEnd"/>
      <w:r w:rsidRPr="008D10D0">
        <w:rPr>
          <w:lang w:val="en-US"/>
        </w:rPr>
        <w:t xml:space="preserve"> interface and an unnecessary processing/buffering of the forwarded packets by the non-accessed target SNs. On the other hand, the late date forwarding of option 2 addresses the drawbacks of Option 1 but causes an additional latency to user plane as data forwarding is initiated only after access to the selected target SN is completed. </w:t>
      </w:r>
    </w:p>
    <w:p w14:paraId="16363D44" w14:textId="788E590A" w:rsidR="00A91EE5" w:rsidRDefault="00A91EE5" w:rsidP="008D10D0">
      <w:pPr>
        <w:rPr>
          <w:lang w:val="en-US"/>
        </w:rPr>
      </w:pPr>
      <w:r>
        <w:rPr>
          <w:lang w:val="en-US"/>
        </w:rPr>
        <w:t xml:space="preserve">In order to enable timely late data forwarding, the source SN must know when the UE arrives to the target SN. This can either be done based on the information from the target SN (as in case of CHO), or based on information that the UE could send to the MN, which would then forward it to the source SN (e.g. in the Release Request). </w:t>
      </w:r>
    </w:p>
    <w:p w14:paraId="07FABF69" w14:textId="15EC3F30" w:rsidR="00A91EE5" w:rsidRPr="00A91EE5" w:rsidRDefault="00A91EE5" w:rsidP="008D10D0">
      <w:pPr>
        <w:rPr>
          <w:b/>
          <w:bCs/>
          <w:lang w:val="en-US"/>
        </w:rPr>
      </w:pPr>
      <w:r w:rsidRPr="00A91EE5">
        <w:rPr>
          <w:b/>
          <w:bCs/>
          <w:lang w:val="en-US"/>
        </w:rPr>
        <w:t>Proposal 1: RAN3 to consider options for detecting the moment the UE arrives to the target SN. If needed, RAN2 shall be contacted to enable notification from the UE.</w:t>
      </w:r>
    </w:p>
    <w:p w14:paraId="1C93174A" w14:textId="6EB990A8" w:rsidR="00F62075" w:rsidRDefault="00F62075" w:rsidP="00F62075">
      <w:pPr>
        <w:pStyle w:val="Heading2"/>
        <w:rPr>
          <w:lang w:val="en-US"/>
        </w:rPr>
      </w:pPr>
      <w:r>
        <w:rPr>
          <w:lang w:val="en-US"/>
        </w:rPr>
        <w:t>2.2</w:t>
      </w:r>
      <w:r>
        <w:rPr>
          <w:lang w:val="en-US"/>
        </w:rPr>
        <w:tab/>
      </w:r>
      <w:proofErr w:type="spellStart"/>
      <w:r>
        <w:rPr>
          <w:lang w:val="en-US"/>
        </w:rPr>
        <w:t>PSCell</w:t>
      </w:r>
      <w:proofErr w:type="spellEnd"/>
      <w:r>
        <w:rPr>
          <w:lang w:val="en-US"/>
        </w:rPr>
        <w:t xml:space="preserve"> preparation in multiple target SNs</w:t>
      </w:r>
    </w:p>
    <w:p w14:paraId="70177E11" w14:textId="140ECA3A" w:rsidR="00DB69BC" w:rsidRDefault="00B93656" w:rsidP="008D10D0">
      <w:pPr>
        <w:rPr>
          <w:lang w:eastAsia="pl-PL"/>
        </w:rPr>
      </w:pPr>
      <w:r>
        <w:rPr>
          <w:lang w:eastAsia="pl-PL"/>
        </w:rPr>
        <w:t>Another problem that concerns RAN3 is possible limitation for CPC preparations. In case of CHO, the UE could be configured with up to 8 target cells. It is plausible to assume similar limit for CPC. However, contrary to CHO, with CPC, the node initiating CPC does not control cells that are to be prepared: in classic addition, it is the target SN to select which own cell is to be prepared. One may assume similar scenario for CPC: the target SN will select one or more cells to be prepared for the UE.</w:t>
      </w:r>
    </w:p>
    <w:p w14:paraId="1670C6EA" w14:textId="3F47EBE0" w:rsidR="00B93656" w:rsidRDefault="00B93656" w:rsidP="008D10D0">
      <w:pPr>
        <w:rPr>
          <w:lang w:eastAsia="pl-PL"/>
        </w:rPr>
      </w:pPr>
      <w:r>
        <w:rPr>
          <w:lang w:eastAsia="pl-PL"/>
        </w:rPr>
        <w:t xml:space="preserve">If the initiating node decides to prepare more than one target SN, they will not know about each other. On the other hand, the MN is not obliged (or able) to read the SCG configuration. Hence the problem: total number of prepared </w:t>
      </w:r>
      <w:proofErr w:type="spellStart"/>
      <w:r>
        <w:rPr>
          <w:lang w:eastAsia="pl-PL"/>
        </w:rPr>
        <w:t>PSCells</w:t>
      </w:r>
      <w:proofErr w:type="spellEnd"/>
      <w:r>
        <w:rPr>
          <w:lang w:eastAsia="pl-PL"/>
        </w:rPr>
        <w:t xml:space="preserve"> may be higher than the limit (likely 8, too). </w:t>
      </w:r>
    </w:p>
    <w:p w14:paraId="4530D53A" w14:textId="57CF2323" w:rsidR="00B93656" w:rsidRDefault="00B93656" w:rsidP="008D10D0">
      <w:pPr>
        <w:rPr>
          <w:lang w:eastAsia="pl-PL"/>
        </w:rPr>
      </w:pPr>
      <w:r>
        <w:rPr>
          <w:lang w:eastAsia="pl-PL"/>
        </w:rPr>
        <w:t xml:space="preserve">In order to avoid this scenario, the initiating node (may be the MN, or the source SN) shall provide each target SN with the max limit of </w:t>
      </w:r>
      <w:proofErr w:type="spellStart"/>
      <w:r>
        <w:rPr>
          <w:lang w:eastAsia="pl-PL"/>
        </w:rPr>
        <w:t>PSCells</w:t>
      </w:r>
      <w:proofErr w:type="spellEnd"/>
      <w:r>
        <w:rPr>
          <w:lang w:eastAsia="pl-PL"/>
        </w:rPr>
        <w:t xml:space="preserve"> to prepare. Then, the target SN shall inform back the number of cells that were </w:t>
      </w:r>
      <w:proofErr w:type="gramStart"/>
      <w:r>
        <w:rPr>
          <w:lang w:eastAsia="pl-PL"/>
        </w:rPr>
        <w:t>actually prepared</w:t>
      </w:r>
      <w:proofErr w:type="gramEnd"/>
      <w:r>
        <w:rPr>
          <w:lang w:eastAsia="pl-PL"/>
        </w:rPr>
        <w:t xml:space="preserve"> for the UE, so that possibly “unused” quota can be offered to another target SN.</w:t>
      </w:r>
    </w:p>
    <w:p w14:paraId="476BB54D" w14:textId="3248604F" w:rsidR="00DB69BC" w:rsidRPr="00B93656" w:rsidRDefault="00B93656" w:rsidP="008D10D0">
      <w:pPr>
        <w:rPr>
          <w:b/>
          <w:bCs/>
          <w:lang w:eastAsia="pl-PL"/>
        </w:rPr>
      </w:pPr>
      <w:r w:rsidRPr="00B93656">
        <w:rPr>
          <w:b/>
          <w:bCs/>
          <w:lang w:eastAsia="pl-PL"/>
        </w:rPr>
        <w:lastRenderedPageBreak/>
        <w:t xml:space="preserve">Proposal 2: The node initiating CPC (MN or the source SN) shall be able to indicate to each target SN the limit of cells that the target </w:t>
      </w:r>
      <w:proofErr w:type="gramStart"/>
      <w:r w:rsidRPr="00B93656">
        <w:rPr>
          <w:b/>
          <w:bCs/>
          <w:lang w:eastAsia="pl-PL"/>
        </w:rPr>
        <w:t>is allowed to</w:t>
      </w:r>
      <w:proofErr w:type="gramEnd"/>
      <w:r w:rsidRPr="00B93656">
        <w:rPr>
          <w:b/>
          <w:bCs/>
          <w:lang w:eastAsia="pl-PL"/>
        </w:rPr>
        <w:t xml:space="preserve"> prepare for the UE. The target SN shall then respond informing how many cells were </w:t>
      </w:r>
      <w:proofErr w:type="gramStart"/>
      <w:r w:rsidRPr="00B93656">
        <w:rPr>
          <w:b/>
          <w:bCs/>
          <w:lang w:eastAsia="pl-PL"/>
        </w:rPr>
        <w:t>actually prepared</w:t>
      </w:r>
      <w:proofErr w:type="gramEnd"/>
      <w:r w:rsidRPr="00B93656">
        <w:rPr>
          <w:b/>
          <w:bCs/>
          <w:lang w:eastAsia="pl-PL"/>
        </w:rPr>
        <w:t xml:space="preserve"> in the SCG config.</w:t>
      </w:r>
    </w:p>
    <w:p w14:paraId="11D45B19" w14:textId="51525777" w:rsidR="00730CF8" w:rsidRDefault="00730CF8" w:rsidP="00730CF8">
      <w:pPr>
        <w:pStyle w:val="Heading2"/>
        <w:rPr>
          <w:lang w:val="en-US"/>
        </w:rPr>
      </w:pPr>
      <w:r>
        <w:rPr>
          <w:lang w:val="en-US"/>
        </w:rPr>
        <w:t>2.3</w:t>
      </w:r>
      <w:r>
        <w:rPr>
          <w:lang w:val="en-US"/>
        </w:rPr>
        <w:tab/>
        <w:t>Direct inter-SN communication</w:t>
      </w:r>
    </w:p>
    <w:p w14:paraId="2787B67D" w14:textId="4921EC32" w:rsidR="00730CF8" w:rsidRDefault="00730CF8" w:rsidP="00730CF8">
      <w:pPr>
        <w:rPr>
          <w:lang w:val="en-US"/>
        </w:rPr>
      </w:pPr>
      <w:r>
        <w:rPr>
          <w:lang w:val="en-US"/>
        </w:rPr>
        <w:t xml:space="preserve">In a classic SN change, the MN coordinates communication between the source and the target SN. This is assumed to be the baseline for CPC, too. However, contrary to the classic SN change, in case of CPC, the source may likely prepare multiple target </w:t>
      </w:r>
      <w:proofErr w:type="spellStart"/>
      <w:r>
        <w:rPr>
          <w:lang w:val="en-US"/>
        </w:rPr>
        <w:t>PSCells</w:t>
      </w:r>
      <w:proofErr w:type="spellEnd"/>
      <w:r>
        <w:rPr>
          <w:lang w:val="en-US"/>
        </w:rPr>
        <w:t xml:space="preserve"> in multiple target SNs. This will impose much higher signaling and processing load on the MN, which may not be desirable. This could be avoided, if some part of the CPC preparation happens directly between the source (which would then use SRB3) and the target SN. Such direct preparation could be done either using some form of a transparent container that would only be relied in the MN, or even using directly inter-SN </w:t>
      </w:r>
      <w:proofErr w:type="spellStart"/>
      <w:r>
        <w:rPr>
          <w:lang w:val="en-US"/>
        </w:rPr>
        <w:t>Xn</w:t>
      </w:r>
      <w:proofErr w:type="spellEnd"/>
      <w:r>
        <w:rPr>
          <w:lang w:val="en-US"/>
        </w:rPr>
        <w:t xml:space="preserve"> interface. Of course, the final change would involve the MN.</w:t>
      </w:r>
    </w:p>
    <w:p w14:paraId="356F1C9F" w14:textId="1F3A54C2" w:rsidR="00730CF8" w:rsidRPr="00730CF8" w:rsidRDefault="00730CF8" w:rsidP="00730CF8">
      <w:pPr>
        <w:rPr>
          <w:b/>
          <w:bCs/>
          <w:lang w:val="en-US"/>
        </w:rPr>
      </w:pPr>
      <w:r w:rsidRPr="00730CF8">
        <w:rPr>
          <w:b/>
          <w:bCs/>
          <w:lang w:val="en-US"/>
        </w:rPr>
        <w:t xml:space="preserve">Proposal 3: RAN3 shall consider if </w:t>
      </w:r>
      <w:proofErr w:type="gramStart"/>
      <w:r w:rsidRPr="00730CF8">
        <w:rPr>
          <w:b/>
          <w:bCs/>
          <w:lang w:val="en-US"/>
        </w:rPr>
        <w:t>possible</w:t>
      </w:r>
      <w:proofErr w:type="gramEnd"/>
      <w:r w:rsidRPr="00730CF8">
        <w:rPr>
          <w:b/>
          <w:bCs/>
          <w:lang w:val="en-US"/>
        </w:rPr>
        <w:t xml:space="preserve"> signaling increase due to the CPC preparation should be avoided and direct inter-SN communication allowed.</w:t>
      </w:r>
    </w:p>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4EE0BF82" w:rsidR="00A15228" w:rsidRDefault="00A86B16" w:rsidP="006A43F7">
      <w:pPr>
        <w:jc w:val="both"/>
        <w:rPr>
          <w:bCs/>
          <w:lang w:val="en-US"/>
        </w:rPr>
      </w:pPr>
      <w:r>
        <w:rPr>
          <w:bCs/>
          <w:lang w:val="en-US"/>
        </w:rPr>
        <w:t xml:space="preserve">In this paper, we aim at identifying aspects of the conditional </w:t>
      </w:r>
      <w:proofErr w:type="spellStart"/>
      <w:r>
        <w:rPr>
          <w:bCs/>
          <w:lang w:val="en-US"/>
        </w:rPr>
        <w:t>PSCell</w:t>
      </w:r>
      <w:proofErr w:type="spellEnd"/>
      <w:r>
        <w:rPr>
          <w:bCs/>
          <w:lang w:val="en-US"/>
        </w:rPr>
        <w:t xml:space="preserve"> addition/change which will impact RAN3’s specification. We’ve discussed three areas and made following proposals:</w:t>
      </w:r>
    </w:p>
    <w:p w14:paraId="43BCCE70" w14:textId="5D4E02A1" w:rsidR="00A86B16" w:rsidRPr="00A86B16" w:rsidRDefault="00A86B16" w:rsidP="00A86B16">
      <w:pPr>
        <w:pStyle w:val="ListParagraph"/>
        <w:numPr>
          <w:ilvl w:val="0"/>
          <w:numId w:val="44"/>
        </w:numPr>
        <w:jc w:val="both"/>
        <w:rPr>
          <w:bCs/>
        </w:rPr>
      </w:pPr>
      <w:r w:rsidRPr="00A86B16">
        <w:rPr>
          <w:bCs/>
        </w:rPr>
        <w:t>RAN3 to consider options for detecting the moment the UE arrives to the target SN. If needed, RAN2 shall be contacted to enable notification from the UE.</w:t>
      </w:r>
    </w:p>
    <w:p w14:paraId="3D486E69" w14:textId="14C7C2DE" w:rsidR="00A86B16" w:rsidRPr="00A86B16" w:rsidRDefault="00A86B16" w:rsidP="00A86B16">
      <w:pPr>
        <w:pStyle w:val="ListParagraph"/>
        <w:numPr>
          <w:ilvl w:val="0"/>
          <w:numId w:val="44"/>
        </w:numPr>
        <w:jc w:val="both"/>
        <w:rPr>
          <w:bCs/>
        </w:rPr>
      </w:pPr>
      <w:r w:rsidRPr="00A86B16">
        <w:rPr>
          <w:bCs/>
        </w:rPr>
        <w:t xml:space="preserve">The node initiating CPC (MN or the source SN) shall be able to indicate to each target SN the limit of cells that the target </w:t>
      </w:r>
      <w:proofErr w:type="gramStart"/>
      <w:r w:rsidRPr="00A86B16">
        <w:rPr>
          <w:bCs/>
        </w:rPr>
        <w:t>is allowed to</w:t>
      </w:r>
      <w:proofErr w:type="gramEnd"/>
      <w:r w:rsidRPr="00A86B16">
        <w:rPr>
          <w:bCs/>
        </w:rPr>
        <w:t xml:space="preserve"> prepare for the UE. The target SN shall then respond informing how many cells were </w:t>
      </w:r>
      <w:proofErr w:type="gramStart"/>
      <w:r w:rsidRPr="00A86B16">
        <w:rPr>
          <w:bCs/>
        </w:rPr>
        <w:t>actually prepared</w:t>
      </w:r>
      <w:proofErr w:type="gramEnd"/>
      <w:r w:rsidRPr="00A86B16">
        <w:rPr>
          <w:bCs/>
        </w:rPr>
        <w:t xml:space="preserve"> in the SCG config.</w:t>
      </w:r>
    </w:p>
    <w:p w14:paraId="1F1FCC4C" w14:textId="4E8B7319" w:rsidR="00A86B16" w:rsidRPr="00A86B16" w:rsidRDefault="00A86B16" w:rsidP="00A86B16">
      <w:pPr>
        <w:pStyle w:val="ListParagraph"/>
        <w:numPr>
          <w:ilvl w:val="0"/>
          <w:numId w:val="44"/>
        </w:numPr>
        <w:jc w:val="both"/>
        <w:rPr>
          <w:bCs/>
        </w:rPr>
      </w:pPr>
      <w:r w:rsidRPr="00A86B16">
        <w:rPr>
          <w:bCs/>
        </w:rPr>
        <w:t xml:space="preserve">RAN3 shall consider if </w:t>
      </w:r>
      <w:proofErr w:type="gramStart"/>
      <w:r w:rsidRPr="00A86B16">
        <w:rPr>
          <w:bCs/>
        </w:rPr>
        <w:t>possible</w:t>
      </w:r>
      <w:proofErr w:type="gramEnd"/>
      <w:r w:rsidRPr="00A86B16">
        <w:rPr>
          <w:bCs/>
        </w:rPr>
        <w:t xml:space="preserve"> signaling increase due to the CPC preparation should be avoided and direct inter-SN communication allowed.</w:t>
      </w:r>
    </w:p>
    <w:p w14:paraId="28934DB4" w14:textId="00985AA4" w:rsidR="00A86B16" w:rsidRDefault="00A86B16" w:rsidP="006A43F7">
      <w:pPr>
        <w:jc w:val="both"/>
        <w:rPr>
          <w:bCs/>
          <w:lang w:val="en-US"/>
        </w:rPr>
      </w:pPr>
      <w:r>
        <w:rPr>
          <w:bCs/>
          <w:lang w:val="en-US"/>
        </w:rPr>
        <w:t>The 2</w:t>
      </w:r>
      <w:r w:rsidRPr="00A86B16">
        <w:rPr>
          <w:bCs/>
          <w:vertAlign w:val="superscript"/>
          <w:lang w:val="en-US"/>
        </w:rPr>
        <w:t>nd</w:t>
      </w:r>
      <w:r>
        <w:rPr>
          <w:bCs/>
          <w:lang w:val="en-US"/>
        </w:rPr>
        <w:t xml:space="preserve"> point is not related to RAN2’s progress, so RAN3 can proceed with specification work right away. In [1] and [2] we propose CRs to enable the limit.</w:t>
      </w:r>
    </w:p>
    <w:p w14:paraId="483F8717" w14:textId="77777777" w:rsidR="00403B9B" w:rsidRPr="006E13D1" w:rsidRDefault="00403B9B" w:rsidP="00403B9B">
      <w:pPr>
        <w:pStyle w:val="Heading1"/>
      </w:pPr>
      <w:r w:rsidRPr="006E13D1">
        <w:t>References</w:t>
      </w:r>
    </w:p>
    <w:p w14:paraId="2AF1DCFA" w14:textId="2C1159B1" w:rsidR="006A43F7" w:rsidRDefault="00A86B16" w:rsidP="008A3464">
      <w:pPr>
        <w:numPr>
          <w:ilvl w:val="0"/>
          <w:numId w:val="4"/>
        </w:numPr>
        <w:overflowPunct w:val="0"/>
        <w:autoSpaceDE w:val="0"/>
        <w:autoSpaceDN w:val="0"/>
        <w:adjustRightInd w:val="0"/>
        <w:textAlignment w:val="baseline"/>
        <w:rPr>
          <w:lang w:val="fi-FI"/>
        </w:rPr>
      </w:pPr>
      <w:r>
        <w:rPr>
          <w:lang w:val="fi-FI"/>
        </w:rPr>
        <w:t>R3-205948, RAN3 #110e</w:t>
      </w:r>
    </w:p>
    <w:p w14:paraId="30AAAB53" w14:textId="51A050B3" w:rsidR="00A86B16" w:rsidRPr="00A15228" w:rsidRDefault="00A86B16" w:rsidP="008A3464">
      <w:pPr>
        <w:numPr>
          <w:ilvl w:val="0"/>
          <w:numId w:val="4"/>
        </w:numPr>
        <w:overflowPunct w:val="0"/>
        <w:autoSpaceDE w:val="0"/>
        <w:autoSpaceDN w:val="0"/>
        <w:adjustRightInd w:val="0"/>
        <w:textAlignment w:val="baseline"/>
        <w:rPr>
          <w:lang w:val="fi-FI"/>
        </w:rPr>
      </w:pPr>
      <w:r>
        <w:rPr>
          <w:lang w:val="fi-FI"/>
        </w:rPr>
        <w:t>R3-205949, RAN3 #110e</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09952" w14:textId="77777777" w:rsidR="00B2145F" w:rsidRDefault="00B2145F">
      <w:r>
        <w:separator/>
      </w:r>
    </w:p>
  </w:endnote>
  <w:endnote w:type="continuationSeparator" w:id="0">
    <w:p w14:paraId="4B9A44AD" w14:textId="77777777" w:rsidR="00B2145F" w:rsidRDefault="00B2145F">
      <w:r>
        <w:continuationSeparator/>
      </w:r>
    </w:p>
  </w:endnote>
  <w:endnote w:type="continuationNotice" w:id="1">
    <w:p w14:paraId="367B9D88" w14:textId="77777777" w:rsidR="00B2145F" w:rsidRDefault="00B21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68CA3" w14:textId="77777777" w:rsidR="00B2145F" w:rsidRDefault="00B2145F">
      <w:r>
        <w:separator/>
      </w:r>
    </w:p>
  </w:footnote>
  <w:footnote w:type="continuationSeparator" w:id="0">
    <w:p w14:paraId="0E668C09" w14:textId="77777777" w:rsidR="00B2145F" w:rsidRDefault="00B2145F">
      <w:r>
        <w:continuationSeparator/>
      </w:r>
    </w:p>
  </w:footnote>
  <w:footnote w:type="continuationNotice" w:id="1">
    <w:p w14:paraId="7C957CEF" w14:textId="77777777" w:rsidR="00B2145F" w:rsidRDefault="00B214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53206EA"/>
    <w:multiLevelType w:val="multilevel"/>
    <w:tmpl w:val="F07EA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CDF063E"/>
    <w:multiLevelType w:val="multilevel"/>
    <w:tmpl w:val="4B5A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6531EF"/>
    <w:multiLevelType w:val="multilevel"/>
    <w:tmpl w:val="D9E0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2164517"/>
    <w:multiLevelType w:val="multilevel"/>
    <w:tmpl w:val="A372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1D4A78"/>
    <w:multiLevelType w:val="multilevel"/>
    <w:tmpl w:val="56EAB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5D4614"/>
    <w:multiLevelType w:val="multilevel"/>
    <w:tmpl w:val="8412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714781"/>
    <w:multiLevelType w:val="hybridMultilevel"/>
    <w:tmpl w:val="A9C09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17"/>
  </w:num>
  <w:num w:numId="4">
    <w:abstractNumId w:val="9"/>
  </w:num>
  <w:num w:numId="5">
    <w:abstractNumId w:val="11"/>
  </w:num>
  <w:num w:numId="6">
    <w:abstractNumId w:val="43"/>
  </w:num>
  <w:num w:numId="7">
    <w:abstractNumId w:val="29"/>
  </w:num>
  <w:num w:numId="8">
    <w:abstractNumId w:val="18"/>
  </w:num>
  <w:num w:numId="9">
    <w:abstractNumId w:val="41"/>
  </w:num>
  <w:num w:numId="10">
    <w:abstractNumId w:val="27"/>
  </w:num>
  <w:num w:numId="11">
    <w:abstractNumId w:val="16"/>
  </w:num>
  <w:num w:numId="12">
    <w:abstractNumId w:val="35"/>
  </w:num>
  <w:num w:numId="13">
    <w:abstractNumId w:val="36"/>
  </w:num>
  <w:num w:numId="14">
    <w:abstractNumId w:val="3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1"/>
  </w:num>
  <w:num w:numId="25">
    <w:abstractNumId w:val="31"/>
  </w:num>
  <w:num w:numId="26">
    <w:abstractNumId w:val="19"/>
  </w:num>
  <w:num w:numId="27">
    <w:abstractNumId w:val="24"/>
  </w:num>
  <w:num w:numId="28">
    <w:abstractNumId w:val="39"/>
  </w:num>
  <w:num w:numId="29">
    <w:abstractNumId w:val="40"/>
  </w:num>
  <w:num w:numId="30">
    <w:abstractNumId w:val="30"/>
  </w:num>
  <w:num w:numId="31">
    <w:abstractNumId w:val="26"/>
  </w:num>
  <w:num w:numId="32">
    <w:abstractNumId w:val="20"/>
  </w:num>
  <w:num w:numId="33">
    <w:abstractNumId w:val="32"/>
  </w:num>
  <w:num w:numId="34">
    <w:abstractNumId w:val="15"/>
  </w:num>
  <w:num w:numId="35">
    <w:abstractNumId w:val="12"/>
  </w:num>
  <w:num w:numId="36">
    <w:abstractNumId w:val="37"/>
  </w:num>
  <w:num w:numId="37">
    <w:abstractNumId w:val="25"/>
  </w:num>
  <w:num w:numId="38">
    <w:abstractNumId w:val="10"/>
  </w:num>
  <w:num w:numId="39">
    <w:abstractNumId w:val="28"/>
  </w:num>
  <w:num w:numId="40">
    <w:abstractNumId w:val="13"/>
  </w:num>
  <w:num w:numId="41">
    <w:abstractNumId w:val="22"/>
  </w:num>
  <w:num w:numId="42">
    <w:abstractNumId w:val="14"/>
  </w:num>
  <w:num w:numId="43">
    <w:abstractNumId w:val="38"/>
  </w:num>
  <w:num w:numId="44">
    <w:abstractNumId w:val="4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23F2"/>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20DC"/>
    <w:rsid w:val="00725A9B"/>
    <w:rsid w:val="00726D2B"/>
    <w:rsid w:val="00727131"/>
    <w:rsid w:val="00730CF8"/>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10D0"/>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86B16"/>
    <w:rsid w:val="00A90B53"/>
    <w:rsid w:val="00A91EE5"/>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43E"/>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145F"/>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3656"/>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43D1"/>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69BC"/>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393"/>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075"/>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64388516">
      <w:bodyDiv w:val="1"/>
      <w:marLeft w:val="0"/>
      <w:marRight w:val="0"/>
      <w:marTop w:val="0"/>
      <w:marBottom w:val="0"/>
      <w:divBdr>
        <w:top w:val="none" w:sz="0" w:space="0" w:color="auto"/>
        <w:left w:val="none" w:sz="0" w:space="0" w:color="auto"/>
        <w:bottom w:val="none" w:sz="0" w:space="0" w:color="auto"/>
        <w:right w:val="none" w:sz="0" w:space="0" w:color="auto"/>
      </w:divBdr>
      <w:divsChild>
        <w:div w:id="698504296">
          <w:marLeft w:val="0"/>
          <w:marRight w:val="0"/>
          <w:marTop w:val="0"/>
          <w:marBottom w:val="0"/>
          <w:divBdr>
            <w:top w:val="none" w:sz="0" w:space="0" w:color="auto"/>
            <w:left w:val="none" w:sz="0" w:space="0" w:color="auto"/>
            <w:bottom w:val="none" w:sz="0" w:space="0" w:color="auto"/>
            <w:right w:val="none" w:sz="0" w:space="0" w:color="auto"/>
          </w:divBdr>
          <w:divsChild>
            <w:div w:id="2053068557">
              <w:marLeft w:val="0"/>
              <w:marRight w:val="0"/>
              <w:marTop w:val="0"/>
              <w:marBottom w:val="0"/>
              <w:divBdr>
                <w:top w:val="none" w:sz="0" w:space="0" w:color="auto"/>
                <w:left w:val="none" w:sz="0" w:space="0" w:color="auto"/>
                <w:bottom w:val="none" w:sz="0" w:space="0" w:color="auto"/>
                <w:right w:val="none" w:sz="0" w:space="0" w:color="auto"/>
              </w:divBdr>
            </w:div>
            <w:div w:id="1053768356">
              <w:marLeft w:val="0"/>
              <w:marRight w:val="0"/>
              <w:marTop w:val="0"/>
              <w:marBottom w:val="0"/>
              <w:divBdr>
                <w:top w:val="none" w:sz="0" w:space="0" w:color="auto"/>
                <w:left w:val="none" w:sz="0" w:space="0" w:color="auto"/>
                <w:bottom w:val="none" w:sz="0" w:space="0" w:color="auto"/>
                <w:right w:val="none" w:sz="0" w:space="0" w:color="auto"/>
              </w:divBdr>
            </w:div>
            <w:div w:id="1313290355">
              <w:marLeft w:val="0"/>
              <w:marRight w:val="0"/>
              <w:marTop w:val="0"/>
              <w:marBottom w:val="0"/>
              <w:divBdr>
                <w:top w:val="none" w:sz="0" w:space="0" w:color="auto"/>
                <w:left w:val="none" w:sz="0" w:space="0" w:color="auto"/>
                <w:bottom w:val="none" w:sz="0" w:space="0" w:color="auto"/>
                <w:right w:val="none" w:sz="0" w:space="0" w:color="auto"/>
              </w:divBdr>
            </w:div>
            <w:div w:id="871385987">
              <w:marLeft w:val="0"/>
              <w:marRight w:val="0"/>
              <w:marTop w:val="0"/>
              <w:marBottom w:val="0"/>
              <w:divBdr>
                <w:top w:val="none" w:sz="0" w:space="0" w:color="auto"/>
                <w:left w:val="none" w:sz="0" w:space="0" w:color="auto"/>
                <w:bottom w:val="none" w:sz="0" w:space="0" w:color="auto"/>
                <w:right w:val="none" w:sz="0" w:space="0" w:color="auto"/>
              </w:divBdr>
            </w:div>
            <w:div w:id="357657462">
              <w:marLeft w:val="0"/>
              <w:marRight w:val="0"/>
              <w:marTop w:val="0"/>
              <w:marBottom w:val="0"/>
              <w:divBdr>
                <w:top w:val="none" w:sz="0" w:space="0" w:color="auto"/>
                <w:left w:val="none" w:sz="0" w:space="0" w:color="auto"/>
                <w:bottom w:val="none" w:sz="0" w:space="0" w:color="auto"/>
                <w:right w:val="none" w:sz="0" w:space="0" w:color="auto"/>
              </w:divBdr>
            </w:div>
          </w:divsChild>
        </w:div>
        <w:div w:id="1609317127">
          <w:marLeft w:val="0"/>
          <w:marRight w:val="0"/>
          <w:marTop w:val="0"/>
          <w:marBottom w:val="0"/>
          <w:divBdr>
            <w:top w:val="none" w:sz="0" w:space="0" w:color="auto"/>
            <w:left w:val="none" w:sz="0" w:space="0" w:color="auto"/>
            <w:bottom w:val="none" w:sz="0" w:space="0" w:color="auto"/>
            <w:right w:val="none" w:sz="0" w:space="0" w:color="auto"/>
          </w:divBdr>
          <w:divsChild>
            <w:div w:id="697318305">
              <w:marLeft w:val="0"/>
              <w:marRight w:val="0"/>
              <w:marTop w:val="0"/>
              <w:marBottom w:val="0"/>
              <w:divBdr>
                <w:top w:val="none" w:sz="0" w:space="0" w:color="auto"/>
                <w:left w:val="none" w:sz="0" w:space="0" w:color="auto"/>
                <w:bottom w:val="none" w:sz="0" w:space="0" w:color="auto"/>
                <w:right w:val="none" w:sz="0" w:space="0" w:color="auto"/>
              </w:divBdr>
            </w:div>
            <w:div w:id="635262267">
              <w:marLeft w:val="0"/>
              <w:marRight w:val="0"/>
              <w:marTop w:val="0"/>
              <w:marBottom w:val="0"/>
              <w:divBdr>
                <w:top w:val="none" w:sz="0" w:space="0" w:color="auto"/>
                <w:left w:val="none" w:sz="0" w:space="0" w:color="auto"/>
                <w:bottom w:val="none" w:sz="0" w:space="0" w:color="auto"/>
                <w:right w:val="none" w:sz="0" w:space="0" w:color="auto"/>
              </w:divBdr>
            </w:div>
          </w:divsChild>
        </w:div>
        <w:div w:id="2067876076">
          <w:marLeft w:val="0"/>
          <w:marRight w:val="0"/>
          <w:marTop w:val="0"/>
          <w:marBottom w:val="0"/>
          <w:divBdr>
            <w:top w:val="none" w:sz="0" w:space="0" w:color="auto"/>
            <w:left w:val="none" w:sz="0" w:space="0" w:color="auto"/>
            <w:bottom w:val="none" w:sz="0" w:space="0" w:color="auto"/>
            <w:right w:val="none" w:sz="0" w:space="0" w:color="auto"/>
          </w:divBdr>
          <w:divsChild>
            <w:div w:id="104547907">
              <w:marLeft w:val="0"/>
              <w:marRight w:val="0"/>
              <w:marTop w:val="0"/>
              <w:marBottom w:val="0"/>
              <w:divBdr>
                <w:top w:val="none" w:sz="0" w:space="0" w:color="auto"/>
                <w:left w:val="none" w:sz="0" w:space="0" w:color="auto"/>
                <w:bottom w:val="none" w:sz="0" w:space="0" w:color="auto"/>
                <w:right w:val="none" w:sz="0" w:space="0" w:color="auto"/>
              </w:divBdr>
            </w:div>
            <w:div w:id="475025908">
              <w:marLeft w:val="0"/>
              <w:marRight w:val="0"/>
              <w:marTop w:val="0"/>
              <w:marBottom w:val="0"/>
              <w:divBdr>
                <w:top w:val="none" w:sz="0" w:space="0" w:color="auto"/>
                <w:left w:val="none" w:sz="0" w:space="0" w:color="auto"/>
                <w:bottom w:val="none" w:sz="0" w:space="0" w:color="auto"/>
                <w:right w:val="none" w:sz="0" w:space="0" w:color="auto"/>
              </w:divBdr>
            </w:div>
            <w:div w:id="609512719">
              <w:marLeft w:val="0"/>
              <w:marRight w:val="0"/>
              <w:marTop w:val="0"/>
              <w:marBottom w:val="0"/>
              <w:divBdr>
                <w:top w:val="none" w:sz="0" w:space="0" w:color="auto"/>
                <w:left w:val="none" w:sz="0" w:space="0" w:color="auto"/>
                <w:bottom w:val="none" w:sz="0" w:space="0" w:color="auto"/>
                <w:right w:val="none" w:sz="0" w:space="0" w:color="auto"/>
              </w:divBdr>
            </w:div>
          </w:divsChild>
        </w:div>
        <w:div w:id="1498811215">
          <w:marLeft w:val="0"/>
          <w:marRight w:val="0"/>
          <w:marTop w:val="0"/>
          <w:marBottom w:val="0"/>
          <w:divBdr>
            <w:top w:val="none" w:sz="0" w:space="0" w:color="auto"/>
            <w:left w:val="none" w:sz="0" w:space="0" w:color="auto"/>
            <w:bottom w:val="none" w:sz="0" w:space="0" w:color="auto"/>
            <w:right w:val="none" w:sz="0" w:space="0" w:color="auto"/>
          </w:divBdr>
          <w:divsChild>
            <w:div w:id="1140421488">
              <w:marLeft w:val="0"/>
              <w:marRight w:val="0"/>
              <w:marTop w:val="0"/>
              <w:marBottom w:val="0"/>
              <w:divBdr>
                <w:top w:val="none" w:sz="0" w:space="0" w:color="auto"/>
                <w:left w:val="none" w:sz="0" w:space="0" w:color="auto"/>
                <w:bottom w:val="none" w:sz="0" w:space="0" w:color="auto"/>
                <w:right w:val="none" w:sz="0" w:space="0" w:color="auto"/>
              </w:divBdr>
            </w:div>
            <w:div w:id="861435100">
              <w:marLeft w:val="0"/>
              <w:marRight w:val="0"/>
              <w:marTop w:val="0"/>
              <w:marBottom w:val="0"/>
              <w:divBdr>
                <w:top w:val="none" w:sz="0" w:space="0" w:color="auto"/>
                <w:left w:val="none" w:sz="0" w:space="0" w:color="auto"/>
                <w:bottom w:val="none" w:sz="0" w:space="0" w:color="auto"/>
                <w:right w:val="none" w:sz="0" w:space="0" w:color="auto"/>
              </w:divBdr>
            </w:div>
            <w:div w:id="1439178221">
              <w:marLeft w:val="0"/>
              <w:marRight w:val="0"/>
              <w:marTop w:val="0"/>
              <w:marBottom w:val="0"/>
              <w:divBdr>
                <w:top w:val="none" w:sz="0" w:space="0" w:color="auto"/>
                <w:left w:val="none" w:sz="0" w:space="0" w:color="auto"/>
                <w:bottom w:val="none" w:sz="0" w:space="0" w:color="auto"/>
                <w:right w:val="none" w:sz="0" w:space="0" w:color="auto"/>
              </w:divBdr>
            </w:div>
            <w:div w:id="1450859659">
              <w:marLeft w:val="0"/>
              <w:marRight w:val="0"/>
              <w:marTop w:val="0"/>
              <w:marBottom w:val="0"/>
              <w:divBdr>
                <w:top w:val="none" w:sz="0" w:space="0" w:color="auto"/>
                <w:left w:val="none" w:sz="0" w:space="0" w:color="auto"/>
                <w:bottom w:val="none" w:sz="0" w:space="0" w:color="auto"/>
                <w:right w:val="none" w:sz="0" w:space="0" w:color="auto"/>
              </w:divBdr>
            </w:div>
          </w:divsChild>
        </w:div>
        <w:div w:id="206070026">
          <w:marLeft w:val="0"/>
          <w:marRight w:val="0"/>
          <w:marTop w:val="0"/>
          <w:marBottom w:val="0"/>
          <w:divBdr>
            <w:top w:val="none" w:sz="0" w:space="0" w:color="auto"/>
            <w:left w:val="none" w:sz="0" w:space="0" w:color="auto"/>
            <w:bottom w:val="none" w:sz="0" w:space="0" w:color="auto"/>
            <w:right w:val="none" w:sz="0" w:space="0" w:color="auto"/>
          </w:divBdr>
          <w:divsChild>
            <w:div w:id="1412848893">
              <w:marLeft w:val="0"/>
              <w:marRight w:val="0"/>
              <w:marTop w:val="0"/>
              <w:marBottom w:val="0"/>
              <w:divBdr>
                <w:top w:val="none" w:sz="0" w:space="0" w:color="auto"/>
                <w:left w:val="none" w:sz="0" w:space="0" w:color="auto"/>
                <w:bottom w:val="none" w:sz="0" w:space="0" w:color="auto"/>
                <w:right w:val="none" w:sz="0" w:space="0" w:color="auto"/>
              </w:divBdr>
            </w:div>
            <w:div w:id="1979533869">
              <w:marLeft w:val="0"/>
              <w:marRight w:val="0"/>
              <w:marTop w:val="0"/>
              <w:marBottom w:val="0"/>
              <w:divBdr>
                <w:top w:val="none" w:sz="0" w:space="0" w:color="auto"/>
                <w:left w:val="none" w:sz="0" w:space="0" w:color="auto"/>
                <w:bottom w:val="none" w:sz="0" w:space="0" w:color="auto"/>
                <w:right w:val="none" w:sz="0" w:space="0" w:color="auto"/>
              </w:divBdr>
            </w:div>
            <w:div w:id="930159741">
              <w:marLeft w:val="0"/>
              <w:marRight w:val="0"/>
              <w:marTop w:val="0"/>
              <w:marBottom w:val="0"/>
              <w:divBdr>
                <w:top w:val="none" w:sz="0" w:space="0" w:color="auto"/>
                <w:left w:val="none" w:sz="0" w:space="0" w:color="auto"/>
                <w:bottom w:val="none" w:sz="0" w:space="0" w:color="auto"/>
                <w:right w:val="none" w:sz="0" w:space="0" w:color="auto"/>
              </w:divBdr>
            </w:div>
            <w:div w:id="37364103">
              <w:marLeft w:val="0"/>
              <w:marRight w:val="0"/>
              <w:marTop w:val="0"/>
              <w:marBottom w:val="0"/>
              <w:divBdr>
                <w:top w:val="none" w:sz="0" w:space="0" w:color="auto"/>
                <w:left w:val="none" w:sz="0" w:space="0" w:color="auto"/>
                <w:bottom w:val="none" w:sz="0" w:space="0" w:color="auto"/>
                <w:right w:val="none" w:sz="0" w:space="0" w:color="auto"/>
              </w:divBdr>
            </w:div>
            <w:div w:id="1194267956">
              <w:marLeft w:val="0"/>
              <w:marRight w:val="0"/>
              <w:marTop w:val="0"/>
              <w:marBottom w:val="0"/>
              <w:divBdr>
                <w:top w:val="none" w:sz="0" w:space="0" w:color="auto"/>
                <w:left w:val="none" w:sz="0" w:space="0" w:color="auto"/>
                <w:bottom w:val="none" w:sz="0" w:space="0" w:color="auto"/>
                <w:right w:val="none" w:sz="0" w:space="0" w:color="auto"/>
              </w:divBdr>
            </w:div>
          </w:divsChild>
        </w:div>
        <w:div w:id="1548368758">
          <w:marLeft w:val="0"/>
          <w:marRight w:val="0"/>
          <w:marTop w:val="0"/>
          <w:marBottom w:val="0"/>
          <w:divBdr>
            <w:top w:val="none" w:sz="0" w:space="0" w:color="auto"/>
            <w:left w:val="none" w:sz="0" w:space="0" w:color="auto"/>
            <w:bottom w:val="none" w:sz="0" w:space="0" w:color="auto"/>
            <w:right w:val="none" w:sz="0" w:space="0" w:color="auto"/>
          </w:divBdr>
        </w:div>
        <w:div w:id="1251505394">
          <w:marLeft w:val="0"/>
          <w:marRight w:val="0"/>
          <w:marTop w:val="0"/>
          <w:marBottom w:val="0"/>
          <w:divBdr>
            <w:top w:val="none" w:sz="0" w:space="0" w:color="auto"/>
            <w:left w:val="none" w:sz="0" w:space="0" w:color="auto"/>
            <w:bottom w:val="none" w:sz="0" w:space="0" w:color="auto"/>
            <w:right w:val="none" w:sz="0" w:space="0" w:color="auto"/>
          </w:divBdr>
        </w:div>
        <w:div w:id="158545518">
          <w:marLeft w:val="0"/>
          <w:marRight w:val="0"/>
          <w:marTop w:val="0"/>
          <w:marBottom w:val="0"/>
          <w:divBdr>
            <w:top w:val="none" w:sz="0" w:space="0" w:color="auto"/>
            <w:left w:val="none" w:sz="0" w:space="0" w:color="auto"/>
            <w:bottom w:val="none" w:sz="0" w:space="0" w:color="auto"/>
            <w:right w:val="none" w:sz="0" w:space="0" w:color="auto"/>
          </w:divBdr>
        </w:div>
        <w:div w:id="818158385">
          <w:marLeft w:val="0"/>
          <w:marRight w:val="0"/>
          <w:marTop w:val="0"/>
          <w:marBottom w:val="0"/>
          <w:divBdr>
            <w:top w:val="none" w:sz="0" w:space="0" w:color="auto"/>
            <w:left w:val="none" w:sz="0" w:space="0" w:color="auto"/>
            <w:bottom w:val="none" w:sz="0" w:space="0" w:color="auto"/>
            <w:right w:val="none" w:sz="0" w:space="0" w:color="auto"/>
          </w:divBdr>
        </w:div>
        <w:div w:id="907230475">
          <w:marLeft w:val="0"/>
          <w:marRight w:val="0"/>
          <w:marTop w:val="0"/>
          <w:marBottom w:val="0"/>
          <w:divBdr>
            <w:top w:val="none" w:sz="0" w:space="0" w:color="auto"/>
            <w:left w:val="none" w:sz="0" w:space="0" w:color="auto"/>
            <w:bottom w:val="none" w:sz="0" w:space="0" w:color="auto"/>
            <w:right w:val="none" w:sz="0" w:space="0" w:color="auto"/>
          </w:divBdr>
        </w:div>
        <w:div w:id="2052684300">
          <w:marLeft w:val="0"/>
          <w:marRight w:val="0"/>
          <w:marTop w:val="0"/>
          <w:marBottom w:val="0"/>
          <w:divBdr>
            <w:top w:val="none" w:sz="0" w:space="0" w:color="auto"/>
            <w:left w:val="none" w:sz="0" w:space="0" w:color="auto"/>
            <w:bottom w:val="none" w:sz="0" w:space="0" w:color="auto"/>
            <w:right w:val="none" w:sz="0" w:space="0" w:color="auto"/>
          </w:divBdr>
        </w:div>
        <w:div w:id="1091858058">
          <w:marLeft w:val="0"/>
          <w:marRight w:val="0"/>
          <w:marTop w:val="0"/>
          <w:marBottom w:val="0"/>
          <w:divBdr>
            <w:top w:val="none" w:sz="0" w:space="0" w:color="auto"/>
            <w:left w:val="none" w:sz="0" w:space="0" w:color="auto"/>
            <w:bottom w:val="none" w:sz="0" w:space="0" w:color="auto"/>
            <w:right w:val="none" w:sz="0" w:space="0" w:color="auto"/>
          </w:divBdr>
        </w:div>
        <w:div w:id="1220753104">
          <w:marLeft w:val="0"/>
          <w:marRight w:val="0"/>
          <w:marTop w:val="0"/>
          <w:marBottom w:val="0"/>
          <w:divBdr>
            <w:top w:val="none" w:sz="0" w:space="0" w:color="auto"/>
            <w:left w:val="none" w:sz="0" w:space="0" w:color="auto"/>
            <w:bottom w:val="none" w:sz="0" w:space="0" w:color="auto"/>
            <w:right w:val="none" w:sz="0" w:space="0" w:color="auto"/>
          </w:divBdr>
        </w:div>
        <w:div w:id="1814365058">
          <w:marLeft w:val="0"/>
          <w:marRight w:val="0"/>
          <w:marTop w:val="0"/>
          <w:marBottom w:val="0"/>
          <w:divBdr>
            <w:top w:val="none" w:sz="0" w:space="0" w:color="auto"/>
            <w:left w:val="none" w:sz="0" w:space="0" w:color="auto"/>
            <w:bottom w:val="none" w:sz="0" w:space="0" w:color="auto"/>
            <w:right w:val="none" w:sz="0" w:space="0" w:color="auto"/>
          </w:divBdr>
        </w:div>
        <w:div w:id="459419385">
          <w:marLeft w:val="0"/>
          <w:marRight w:val="0"/>
          <w:marTop w:val="0"/>
          <w:marBottom w:val="0"/>
          <w:divBdr>
            <w:top w:val="none" w:sz="0" w:space="0" w:color="auto"/>
            <w:left w:val="none" w:sz="0" w:space="0" w:color="auto"/>
            <w:bottom w:val="none" w:sz="0" w:space="0" w:color="auto"/>
            <w:right w:val="none" w:sz="0" w:space="0" w:color="auto"/>
          </w:divBdr>
        </w:div>
        <w:div w:id="683215246">
          <w:marLeft w:val="0"/>
          <w:marRight w:val="0"/>
          <w:marTop w:val="0"/>
          <w:marBottom w:val="0"/>
          <w:divBdr>
            <w:top w:val="none" w:sz="0" w:space="0" w:color="auto"/>
            <w:left w:val="none" w:sz="0" w:space="0" w:color="auto"/>
            <w:bottom w:val="none" w:sz="0" w:space="0" w:color="auto"/>
            <w:right w:val="none" w:sz="0" w:space="0" w:color="auto"/>
          </w:divBdr>
        </w:div>
        <w:div w:id="125436725">
          <w:marLeft w:val="0"/>
          <w:marRight w:val="0"/>
          <w:marTop w:val="0"/>
          <w:marBottom w:val="0"/>
          <w:divBdr>
            <w:top w:val="none" w:sz="0" w:space="0" w:color="auto"/>
            <w:left w:val="none" w:sz="0" w:space="0" w:color="auto"/>
            <w:bottom w:val="none" w:sz="0" w:space="0" w:color="auto"/>
            <w:right w:val="none" w:sz="0" w:space="0" w:color="auto"/>
          </w:divBdr>
        </w:div>
        <w:div w:id="2125077286">
          <w:marLeft w:val="0"/>
          <w:marRight w:val="0"/>
          <w:marTop w:val="0"/>
          <w:marBottom w:val="0"/>
          <w:divBdr>
            <w:top w:val="none" w:sz="0" w:space="0" w:color="auto"/>
            <w:left w:val="none" w:sz="0" w:space="0" w:color="auto"/>
            <w:bottom w:val="none" w:sz="0" w:space="0" w:color="auto"/>
            <w:right w:val="none" w:sz="0" w:space="0" w:color="auto"/>
          </w:divBdr>
        </w:div>
        <w:div w:id="180508746">
          <w:marLeft w:val="0"/>
          <w:marRight w:val="0"/>
          <w:marTop w:val="0"/>
          <w:marBottom w:val="0"/>
          <w:divBdr>
            <w:top w:val="none" w:sz="0" w:space="0" w:color="auto"/>
            <w:left w:val="none" w:sz="0" w:space="0" w:color="auto"/>
            <w:bottom w:val="none" w:sz="0" w:space="0" w:color="auto"/>
            <w:right w:val="none" w:sz="0" w:space="0" w:color="auto"/>
          </w:divBdr>
        </w:div>
        <w:div w:id="800150491">
          <w:marLeft w:val="0"/>
          <w:marRight w:val="0"/>
          <w:marTop w:val="0"/>
          <w:marBottom w:val="0"/>
          <w:divBdr>
            <w:top w:val="none" w:sz="0" w:space="0" w:color="auto"/>
            <w:left w:val="none" w:sz="0" w:space="0" w:color="auto"/>
            <w:bottom w:val="none" w:sz="0" w:space="0" w:color="auto"/>
            <w:right w:val="none" w:sz="0" w:space="0" w:color="auto"/>
          </w:divBdr>
        </w:div>
        <w:div w:id="379405451">
          <w:marLeft w:val="0"/>
          <w:marRight w:val="0"/>
          <w:marTop w:val="0"/>
          <w:marBottom w:val="0"/>
          <w:divBdr>
            <w:top w:val="none" w:sz="0" w:space="0" w:color="auto"/>
            <w:left w:val="none" w:sz="0" w:space="0" w:color="auto"/>
            <w:bottom w:val="none" w:sz="0" w:space="0" w:color="auto"/>
            <w:right w:val="none" w:sz="0" w:space="0" w:color="auto"/>
          </w:divBdr>
        </w:div>
        <w:div w:id="874536683">
          <w:marLeft w:val="0"/>
          <w:marRight w:val="0"/>
          <w:marTop w:val="0"/>
          <w:marBottom w:val="0"/>
          <w:divBdr>
            <w:top w:val="none" w:sz="0" w:space="0" w:color="auto"/>
            <w:left w:val="none" w:sz="0" w:space="0" w:color="auto"/>
            <w:bottom w:val="none" w:sz="0" w:space="0" w:color="auto"/>
            <w:right w:val="none" w:sz="0" w:space="0" w:color="auto"/>
          </w:divBdr>
        </w:div>
        <w:div w:id="2070495121">
          <w:marLeft w:val="0"/>
          <w:marRight w:val="0"/>
          <w:marTop w:val="0"/>
          <w:marBottom w:val="0"/>
          <w:divBdr>
            <w:top w:val="none" w:sz="0" w:space="0" w:color="auto"/>
            <w:left w:val="none" w:sz="0" w:space="0" w:color="auto"/>
            <w:bottom w:val="none" w:sz="0" w:space="0" w:color="auto"/>
            <w:right w:val="none" w:sz="0" w:space="0" w:color="auto"/>
          </w:divBdr>
        </w:div>
        <w:div w:id="884294713">
          <w:marLeft w:val="0"/>
          <w:marRight w:val="0"/>
          <w:marTop w:val="0"/>
          <w:marBottom w:val="0"/>
          <w:divBdr>
            <w:top w:val="none" w:sz="0" w:space="0" w:color="auto"/>
            <w:left w:val="none" w:sz="0" w:space="0" w:color="auto"/>
            <w:bottom w:val="none" w:sz="0" w:space="0" w:color="auto"/>
            <w:right w:val="none" w:sz="0" w:space="0" w:color="auto"/>
          </w:divBdr>
        </w:div>
        <w:div w:id="1492060396">
          <w:marLeft w:val="0"/>
          <w:marRight w:val="0"/>
          <w:marTop w:val="0"/>
          <w:marBottom w:val="0"/>
          <w:divBdr>
            <w:top w:val="none" w:sz="0" w:space="0" w:color="auto"/>
            <w:left w:val="none" w:sz="0" w:space="0" w:color="auto"/>
            <w:bottom w:val="none" w:sz="0" w:space="0" w:color="auto"/>
            <w:right w:val="none" w:sz="0" w:space="0" w:color="auto"/>
          </w:divBdr>
        </w:div>
        <w:div w:id="1547252352">
          <w:marLeft w:val="0"/>
          <w:marRight w:val="0"/>
          <w:marTop w:val="0"/>
          <w:marBottom w:val="0"/>
          <w:divBdr>
            <w:top w:val="none" w:sz="0" w:space="0" w:color="auto"/>
            <w:left w:val="none" w:sz="0" w:space="0" w:color="auto"/>
            <w:bottom w:val="none" w:sz="0" w:space="0" w:color="auto"/>
            <w:right w:val="none" w:sz="0" w:space="0" w:color="auto"/>
          </w:divBdr>
        </w:div>
        <w:div w:id="1682659251">
          <w:marLeft w:val="0"/>
          <w:marRight w:val="0"/>
          <w:marTop w:val="0"/>
          <w:marBottom w:val="0"/>
          <w:divBdr>
            <w:top w:val="none" w:sz="0" w:space="0" w:color="auto"/>
            <w:left w:val="none" w:sz="0" w:space="0" w:color="auto"/>
            <w:bottom w:val="none" w:sz="0" w:space="0" w:color="auto"/>
            <w:right w:val="none" w:sz="0" w:space="0" w:color="auto"/>
          </w:divBdr>
        </w:div>
        <w:div w:id="569195575">
          <w:marLeft w:val="0"/>
          <w:marRight w:val="0"/>
          <w:marTop w:val="0"/>
          <w:marBottom w:val="0"/>
          <w:divBdr>
            <w:top w:val="none" w:sz="0" w:space="0" w:color="auto"/>
            <w:left w:val="none" w:sz="0" w:space="0" w:color="auto"/>
            <w:bottom w:val="none" w:sz="0" w:space="0" w:color="auto"/>
            <w:right w:val="none" w:sz="0" w:space="0" w:color="auto"/>
          </w:divBdr>
        </w:div>
        <w:div w:id="694647994">
          <w:marLeft w:val="0"/>
          <w:marRight w:val="0"/>
          <w:marTop w:val="0"/>
          <w:marBottom w:val="0"/>
          <w:divBdr>
            <w:top w:val="none" w:sz="0" w:space="0" w:color="auto"/>
            <w:left w:val="none" w:sz="0" w:space="0" w:color="auto"/>
            <w:bottom w:val="none" w:sz="0" w:space="0" w:color="auto"/>
            <w:right w:val="none" w:sz="0" w:space="0" w:color="auto"/>
          </w:divBdr>
        </w:div>
        <w:div w:id="354112429">
          <w:marLeft w:val="0"/>
          <w:marRight w:val="0"/>
          <w:marTop w:val="0"/>
          <w:marBottom w:val="0"/>
          <w:divBdr>
            <w:top w:val="none" w:sz="0" w:space="0" w:color="auto"/>
            <w:left w:val="none" w:sz="0" w:space="0" w:color="auto"/>
            <w:bottom w:val="none" w:sz="0" w:space="0" w:color="auto"/>
            <w:right w:val="none" w:sz="0" w:space="0" w:color="auto"/>
          </w:divBdr>
        </w:div>
        <w:div w:id="1167020520">
          <w:marLeft w:val="0"/>
          <w:marRight w:val="0"/>
          <w:marTop w:val="0"/>
          <w:marBottom w:val="0"/>
          <w:divBdr>
            <w:top w:val="none" w:sz="0" w:space="0" w:color="auto"/>
            <w:left w:val="none" w:sz="0" w:space="0" w:color="auto"/>
            <w:bottom w:val="none" w:sz="0" w:space="0" w:color="auto"/>
            <w:right w:val="none" w:sz="0" w:space="0" w:color="auto"/>
          </w:divBdr>
        </w:div>
        <w:div w:id="1424573557">
          <w:marLeft w:val="0"/>
          <w:marRight w:val="0"/>
          <w:marTop w:val="0"/>
          <w:marBottom w:val="0"/>
          <w:divBdr>
            <w:top w:val="none" w:sz="0" w:space="0" w:color="auto"/>
            <w:left w:val="none" w:sz="0" w:space="0" w:color="auto"/>
            <w:bottom w:val="none" w:sz="0" w:space="0" w:color="auto"/>
            <w:right w:val="none" w:sz="0" w:space="0" w:color="auto"/>
          </w:divBdr>
        </w:div>
        <w:div w:id="1506508022">
          <w:marLeft w:val="0"/>
          <w:marRight w:val="0"/>
          <w:marTop w:val="0"/>
          <w:marBottom w:val="0"/>
          <w:divBdr>
            <w:top w:val="none" w:sz="0" w:space="0" w:color="auto"/>
            <w:left w:val="none" w:sz="0" w:space="0" w:color="auto"/>
            <w:bottom w:val="none" w:sz="0" w:space="0" w:color="auto"/>
            <w:right w:val="none" w:sz="0" w:space="0" w:color="auto"/>
          </w:divBdr>
        </w:div>
        <w:div w:id="235287360">
          <w:marLeft w:val="0"/>
          <w:marRight w:val="0"/>
          <w:marTop w:val="0"/>
          <w:marBottom w:val="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5C7A71D-6AAA-456C-9AF8-D893FF53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98</TotalTime>
  <Pages>1</Pages>
  <Words>776</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5428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Enhancements related to the conditional PSCell change</dc:title>
  <dc:subject>3GPP RAN3 #110-e</dc:subject>
  <dc:creator>Benoist Sébire</dc:creator>
  <cp:keywords>&lt;keyword[, keyword, ]&gt;</cp:keywords>
  <dc:description/>
  <cp:lastModifiedBy>Nokia</cp:lastModifiedBy>
  <cp:revision>30</cp:revision>
  <cp:lastPrinted>2019-03-27T07:16:00Z</cp:lastPrinted>
  <dcterms:created xsi:type="dcterms:W3CDTF">2019-10-03T12:07:00Z</dcterms:created>
  <dcterms:modified xsi:type="dcterms:W3CDTF">2020-10-22T16:40:00Z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